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D0" w:rsidRDefault="004D01D0" w:rsidP="00577470">
      <w:pPr>
        <w:pStyle w:val="a4"/>
        <w:jc w:val="center"/>
        <w:rPr>
          <w:lang w:val="bg-BG"/>
        </w:rPr>
      </w:pPr>
    </w:p>
    <w:p w:rsidR="008A74AD" w:rsidRDefault="009F1144" w:rsidP="00577470">
      <w:pPr>
        <w:pStyle w:val="a4"/>
        <w:jc w:val="center"/>
        <w:rPr>
          <w:lang w:val="bg-BG"/>
        </w:rPr>
      </w:pPr>
      <w:r>
        <w:rPr>
          <w:lang w:val="bg-BG"/>
        </w:rPr>
        <w:t>Политиките на ЕС в област  „Енергетика”</w:t>
      </w:r>
      <w:r w:rsidR="00AC742D">
        <w:rPr>
          <w:lang w:val="bg-BG"/>
        </w:rPr>
        <w:t xml:space="preserve"> и влиянието на законодателството на ЕС в областта на околната среда</w:t>
      </w:r>
    </w:p>
    <w:p w:rsidR="000C0AC1" w:rsidRDefault="000C0AC1" w:rsidP="00577470">
      <w:pPr>
        <w:pStyle w:val="a6"/>
        <w:jc w:val="center"/>
        <w:rPr>
          <w:lang w:val="bg-BG"/>
        </w:rPr>
      </w:pPr>
    </w:p>
    <w:p w:rsidR="000C0AC1" w:rsidRDefault="000C0AC1" w:rsidP="00577470">
      <w:pPr>
        <w:pStyle w:val="a6"/>
        <w:jc w:val="center"/>
        <w:rPr>
          <w:lang w:val="bg-BG"/>
        </w:rPr>
      </w:pPr>
    </w:p>
    <w:p w:rsidR="000C0AC1" w:rsidRDefault="000C0AC1" w:rsidP="00577470">
      <w:pPr>
        <w:pStyle w:val="a6"/>
        <w:jc w:val="center"/>
        <w:rPr>
          <w:lang w:val="bg-BG"/>
        </w:rPr>
      </w:pPr>
    </w:p>
    <w:p w:rsidR="000C0AC1" w:rsidRDefault="000C0AC1" w:rsidP="00577470">
      <w:pPr>
        <w:pStyle w:val="a6"/>
        <w:jc w:val="center"/>
        <w:rPr>
          <w:lang w:val="bg-BG"/>
        </w:rPr>
      </w:pPr>
    </w:p>
    <w:p w:rsidR="000C0AC1" w:rsidRDefault="000C0AC1" w:rsidP="00577470">
      <w:pPr>
        <w:pStyle w:val="a6"/>
        <w:jc w:val="center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3733800" cy="2819400"/>
            <wp:effectExtent l="19050" t="0" r="0" b="0"/>
            <wp:docPr id="1" name="Picture 0" descr="energy-mi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ergy-mix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AC1" w:rsidRDefault="000C0AC1" w:rsidP="00577470">
      <w:pPr>
        <w:pStyle w:val="a6"/>
        <w:jc w:val="center"/>
        <w:rPr>
          <w:lang w:val="bg-BG"/>
        </w:rPr>
      </w:pPr>
    </w:p>
    <w:p w:rsidR="000C0AC1" w:rsidRDefault="000C0AC1" w:rsidP="00577470">
      <w:pPr>
        <w:pStyle w:val="a6"/>
        <w:jc w:val="center"/>
        <w:rPr>
          <w:lang w:val="bg-BG"/>
        </w:rPr>
      </w:pPr>
    </w:p>
    <w:p w:rsidR="00577470" w:rsidRDefault="009F1144" w:rsidP="00577470">
      <w:pPr>
        <w:pStyle w:val="a6"/>
        <w:jc w:val="center"/>
        <w:rPr>
          <w:lang w:val="bg-BG"/>
        </w:rPr>
      </w:pPr>
      <w:r>
        <w:rPr>
          <w:lang w:val="bg-BG"/>
        </w:rPr>
        <w:t>проф. Ив Пети</w:t>
      </w:r>
    </w:p>
    <w:p w:rsidR="00577470" w:rsidRDefault="009F1144" w:rsidP="00577470">
      <w:pPr>
        <w:pStyle w:val="a6"/>
        <w:jc w:val="center"/>
        <w:rPr>
          <w:lang w:val="bg-BG"/>
        </w:rPr>
      </w:pPr>
      <w:r>
        <w:rPr>
          <w:lang w:val="bg-BG"/>
        </w:rPr>
        <w:t>Юридически факултет на Университет на Лорен, Нанси, Франция</w:t>
      </w:r>
    </w:p>
    <w:p w:rsidR="009F1144" w:rsidRDefault="009F1144" w:rsidP="00577470">
      <w:pPr>
        <w:pStyle w:val="a6"/>
        <w:jc w:val="center"/>
        <w:rPr>
          <w:lang w:val="bg-BG"/>
        </w:rPr>
      </w:pPr>
    </w:p>
    <w:p w:rsidR="009F1144" w:rsidRDefault="009F1144" w:rsidP="00577470">
      <w:pPr>
        <w:pStyle w:val="1"/>
        <w:rPr>
          <w:lang w:val="bg-BG"/>
        </w:rPr>
      </w:pPr>
      <w:r>
        <w:rPr>
          <w:lang w:val="bg-BG"/>
        </w:rPr>
        <w:lastRenderedPageBreak/>
        <w:t>Въведение: Финансовата рамка на политиките на Европейския съюз</w:t>
      </w:r>
    </w:p>
    <w:p w:rsidR="009F1144" w:rsidRDefault="009F1144" w:rsidP="00577470">
      <w:pPr>
        <w:pStyle w:val="2"/>
        <w:rPr>
          <w:lang w:val="bg-BG"/>
        </w:rPr>
      </w:pPr>
      <w:r>
        <w:rPr>
          <w:lang w:val="bg-BG"/>
        </w:rPr>
        <w:tab/>
        <w:t>А. Многогодишна финансова рамка</w:t>
      </w:r>
    </w:p>
    <w:p w:rsidR="009F1144" w:rsidRDefault="009F1144" w:rsidP="00577470">
      <w:pPr>
        <w:pStyle w:val="3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>1. Финансовата рамка за периода 2007-2013</w:t>
      </w:r>
    </w:p>
    <w:p w:rsidR="009F1144" w:rsidRDefault="009F1144" w:rsidP="00577470">
      <w:pPr>
        <w:pStyle w:val="3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  <w:t>2. Финансовата рамка за периода 2014-2020</w:t>
      </w:r>
    </w:p>
    <w:p w:rsidR="009F1144" w:rsidRDefault="009F1144" w:rsidP="00577470">
      <w:pPr>
        <w:pStyle w:val="2"/>
        <w:rPr>
          <w:lang w:val="bg-BG"/>
        </w:rPr>
      </w:pPr>
      <w:r>
        <w:rPr>
          <w:lang w:val="bg-BG"/>
        </w:rPr>
        <w:tab/>
        <w:t>Б.  Бюджетът на ЕС</w:t>
      </w:r>
    </w:p>
    <w:p w:rsidR="009F1144" w:rsidRDefault="009F1144" w:rsidP="00577470">
      <w:pPr>
        <w:pStyle w:val="3"/>
        <w:rPr>
          <w:lang w:val="bg-BG"/>
        </w:rPr>
      </w:pPr>
      <w:r>
        <w:rPr>
          <w:lang w:val="bg-BG"/>
        </w:rPr>
        <w:tab/>
      </w:r>
      <w:r w:rsidR="00577470">
        <w:rPr>
          <w:lang w:val="bg-BG"/>
        </w:rPr>
        <w:tab/>
      </w:r>
      <w:r>
        <w:rPr>
          <w:lang w:val="bg-BG"/>
        </w:rPr>
        <w:t>1. Бюджетната процедура след Договора от Лисабон / чл.314 ДФЕС/</w:t>
      </w:r>
    </w:p>
    <w:p w:rsidR="009F1144" w:rsidRDefault="009F1144" w:rsidP="00577470">
      <w:pPr>
        <w:pStyle w:val="3"/>
        <w:rPr>
          <w:lang w:val="bg-BG"/>
        </w:rPr>
      </w:pPr>
      <w:r>
        <w:rPr>
          <w:lang w:val="bg-BG"/>
        </w:rPr>
        <w:tab/>
      </w:r>
      <w:r w:rsidR="00577470">
        <w:rPr>
          <w:lang w:val="bg-BG"/>
        </w:rPr>
        <w:tab/>
      </w:r>
      <w:r>
        <w:rPr>
          <w:lang w:val="bg-BG"/>
        </w:rPr>
        <w:t xml:space="preserve">2. Бюджетът на ЕС за 2014 /2013/ в цифри  </w:t>
      </w:r>
    </w:p>
    <w:p w:rsidR="00B7395A" w:rsidRDefault="005F3612" w:rsidP="00B301BB">
      <w:pPr>
        <w:pStyle w:val="2"/>
        <w:rPr>
          <w:lang w:val="bg-BG"/>
        </w:rPr>
      </w:pPr>
      <w:r>
        <w:rPr>
          <w:lang w:val="bg-BG"/>
        </w:rPr>
        <w:t xml:space="preserve">Част 1 </w:t>
      </w:r>
      <w:r w:rsidR="00B301BB">
        <w:rPr>
          <w:lang w:val="bg-BG"/>
        </w:rPr>
        <w:t xml:space="preserve"> </w:t>
      </w:r>
      <w:r w:rsidR="00B7395A">
        <w:rPr>
          <w:lang w:val="bg-BG"/>
        </w:rPr>
        <w:t>Договорът от Лисабон и Енергийната политика на ЕС /чл.194 ДФЕС/</w:t>
      </w:r>
    </w:p>
    <w:p w:rsidR="00B7395A" w:rsidRDefault="00B7395A" w:rsidP="00577470">
      <w:pPr>
        <w:pStyle w:val="3"/>
        <w:numPr>
          <w:ilvl w:val="0"/>
          <w:numId w:val="2"/>
        </w:numPr>
        <w:rPr>
          <w:lang w:val="bg-BG"/>
        </w:rPr>
      </w:pPr>
      <w:r>
        <w:rPr>
          <w:lang w:val="bg-BG"/>
        </w:rPr>
        <w:t>Развитието на енергийната политика на Съюза при липсата на автономна нормативна база</w:t>
      </w:r>
    </w:p>
    <w:p w:rsidR="00B7395A" w:rsidRPr="00B7395A" w:rsidRDefault="00B7395A" w:rsidP="00577470">
      <w:pPr>
        <w:pStyle w:val="3"/>
        <w:numPr>
          <w:ilvl w:val="0"/>
          <w:numId w:val="2"/>
        </w:numPr>
        <w:rPr>
          <w:lang w:val="bg-BG"/>
        </w:rPr>
      </w:pPr>
      <w:r>
        <w:rPr>
          <w:lang w:val="bg-BG"/>
        </w:rPr>
        <w:t>Енергетиката и новата нормативна база след Договора от Лисабон</w:t>
      </w:r>
    </w:p>
    <w:p w:rsidR="00B301BB" w:rsidRDefault="00B301BB" w:rsidP="00B301BB">
      <w:pPr>
        <w:pStyle w:val="2"/>
        <w:rPr>
          <w:lang w:val="bg-BG"/>
        </w:rPr>
      </w:pPr>
    </w:p>
    <w:p w:rsidR="00B301BB" w:rsidRDefault="00B301BB" w:rsidP="00B301BB">
      <w:pPr>
        <w:pStyle w:val="2"/>
        <w:rPr>
          <w:lang w:val="bg-BG"/>
        </w:rPr>
      </w:pPr>
      <w:r>
        <w:rPr>
          <w:lang w:val="bg-BG"/>
        </w:rPr>
        <w:t xml:space="preserve">Част 2 </w:t>
      </w:r>
      <w:r w:rsidRPr="001850A3">
        <w:rPr>
          <w:lang w:val="bg-BG"/>
        </w:rPr>
        <w:t xml:space="preserve">Вътрешният енергиен </w:t>
      </w:r>
      <w:r w:rsidRPr="00B301BB">
        <w:rPr>
          <w:lang w:val="bg-BG"/>
        </w:rPr>
        <w:t>пазар</w:t>
      </w:r>
      <w:r w:rsidRPr="001850A3">
        <w:rPr>
          <w:lang w:val="bg-BG"/>
        </w:rPr>
        <w:t xml:space="preserve"> и свободното движение на стоки</w:t>
      </w:r>
    </w:p>
    <w:p w:rsidR="00B301BB" w:rsidRPr="00B301BB" w:rsidRDefault="00B301BB" w:rsidP="00B301BB">
      <w:pPr>
        <w:pStyle w:val="3"/>
        <w:numPr>
          <w:ilvl w:val="0"/>
          <w:numId w:val="9"/>
        </w:numPr>
        <w:rPr>
          <w:lang w:val="bg-BG"/>
        </w:rPr>
      </w:pPr>
      <w:r w:rsidRPr="001850A3">
        <w:rPr>
          <w:lang w:val="bg-BG"/>
        </w:rPr>
        <w:t>Изменение на държавните монополи – чл. 37 ДФЕС</w:t>
      </w:r>
    </w:p>
    <w:p w:rsidR="00B301BB" w:rsidRPr="00B301BB" w:rsidRDefault="00B301BB" w:rsidP="00B301BB">
      <w:pPr>
        <w:pStyle w:val="4"/>
        <w:numPr>
          <w:ilvl w:val="1"/>
          <w:numId w:val="9"/>
        </w:numPr>
        <w:rPr>
          <w:lang w:val="bg-BG"/>
        </w:rPr>
      </w:pPr>
      <w:r w:rsidRPr="001850A3">
        <w:rPr>
          <w:lang w:val="bg-BG"/>
        </w:rPr>
        <w:t xml:space="preserve">Задължението за изменение на държавните монополи </w:t>
      </w:r>
    </w:p>
    <w:p w:rsidR="00B301BB" w:rsidRPr="00B301BB" w:rsidRDefault="00B301BB" w:rsidP="00B301BB">
      <w:pPr>
        <w:pStyle w:val="5"/>
        <w:numPr>
          <w:ilvl w:val="2"/>
          <w:numId w:val="9"/>
        </w:numPr>
        <w:rPr>
          <w:lang w:val="bg-BG"/>
        </w:rPr>
      </w:pPr>
      <w:r w:rsidRPr="001850A3">
        <w:rPr>
          <w:lang w:val="bg-BG"/>
        </w:rPr>
        <w:t>Дефиниране на държавен монопол посредством принципа на свобода на движение</w:t>
      </w:r>
    </w:p>
    <w:p w:rsidR="00B301BB" w:rsidRPr="00B301BB" w:rsidRDefault="00B301BB" w:rsidP="00B301BB">
      <w:pPr>
        <w:pStyle w:val="5"/>
        <w:numPr>
          <w:ilvl w:val="2"/>
          <w:numId w:val="9"/>
        </w:numPr>
        <w:rPr>
          <w:lang w:val="bg-BG"/>
        </w:rPr>
      </w:pPr>
      <w:r w:rsidRPr="001850A3">
        <w:rPr>
          <w:lang w:val="bg-BG"/>
        </w:rPr>
        <w:t xml:space="preserve">Дефиниране на понятията специални и ексклузивни права </w:t>
      </w:r>
    </w:p>
    <w:p w:rsidR="00B301BB" w:rsidRPr="00B301BB" w:rsidRDefault="00B301BB" w:rsidP="00B301BB">
      <w:pPr>
        <w:pStyle w:val="4"/>
        <w:numPr>
          <w:ilvl w:val="1"/>
          <w:numId w:val="9"/>
        </w:numPr>
        <w:rPr>
          <w:lang w:val="bg-BG"/>
        </w:rPr>
      </w:pPr>
      <w:r w:rsidRPr="001850A3">
        <w:rPr>
          <w:lang w:val="bg-BG"/>
        </w:rPr>
        <w:t>Приложение на задължението по чл. 37 ДФЕС в сектора на енергетиката</w:t>
      </w:r>
    </w:p>
    <w:p w:rsidR="00B301BB" w:rsidRPr="00B301BB" w:rsidRDefault="00B301BB" w:rsidP="00B301BB">
      <w:pPr>
        <w:pStyle w:val="5"/>
        <w:numPr>
          <w:ilvl w:val="2"/>
          <w:numId w:val="9"/>
        </w:numPr>
        <w:rPr>
          <w:lang w:val="bg-BG"/>
        </w:rPr>
      </w:pPr>
      <w:r w:rsidRPr="001850A3">
        <w:rPr>
          <w:lang w:val="bg-BG"/>
        </w:rPr>
        <w:t>Енергиите като стока по смисъла на Договора</w:t>
      </w:r>
    </w:p>
    <w:p w:rsidR="00B301BB" w:rsidRPr="00B301BB" w:rsidRDefault="00B301BB" w:rsidP="00B301BB">
      <w:pPr>
        <w:pStyle w:val="5"/>
        <w:numPr>
          <w:ilvl w:val="2"/>
          <w:numId w:val="9"/>
        </w:numPr>
        <w:rPr>
          <w:lang w:val="bg-BG"/>
        </w:rPr>
      </w:pPr>
      <w:r w:rsidRPr="001850A3">
        <w:rPr>
          <w:lang w:val="bg-BG"/>
        </w:rPr>
        <w:t>Изменение на монополите върху вноса и износа в сектора на енергетиката</w:t>
      </w:r>
    </w:p>
    <w:p w:rsidR="00B301BB" w:rsidRPr="00B301BB" w:rsidRDefault="00B301BB" w:rsidP="00B301BB">
      <w:pPr>
        <w:pStyle w:val="5"/>
        <w:numPr>
          <w:ilvl w:val="2"/>
          <w:numId w:val="9"/>
        </w:numPr>
        <w:rPr>
          <w:lang w:val="bg-BG"/>
        </w:rPr>
      </w:pPr>
      <w:r w:rsidRPr="001850A3">
        <w:rPr>
          <w:lang w:val="bg-BG"/>
        </w:rPr>
        <w:t>Нетарифни ограничения- чл. 34 и 35 ДФЕС</w:t>
      </w:r>
    </w:p>
    <w:p w:rsidR="00B301BB" w:rsidRPr="001850A3" w:rsidRDefault="00B301BB" w:rsidP="00B301BB">
      <w:pPr>
        <w:pStyle w:val="5"/>
        <w:numPr>
          <w:ilvl w:val="2"/>
          <w:numId w:val="9"/>
        </w:numPr>
      </w:pPr>
      <w:r w:rsidRPr="001850A3">
        <w:rPr>
          <w:lang w:val="bg-BG"/>
        </w:rPr>
        <w:t xml:space="preserve">Изключенията </w:t>
      </w:r>
    </w:p>
    <w:p w:rsidR="00B301BB" w:rsidRPr="001850A3" w:rsidRDefault="00B301BB" w:rsidP="00B301BB">
      <w:pPr>
        <w:pStyle w:val="3"/>
        <w:numPr>
          <w:ilvl w:val="0"/>
          <w:numId w:val="9"/>
        </w:numPr>
      </w:pPr>
      <w:r w:rsidRPr="001850A3">
        <w:rPr>
          <w:lang w:val="bg-BG"/>
        </w:rPr>
        <w:t>Вътрешният енергиен пазар и свободите гарантиращи инвестициите в сектора на енергетиката</w:t>
      </w:r>
    </w:p>
    <w:p w:rsidR="00B301BB" w:rsidRPr="001850A3" w:rsidRDefault="00B301BB" w:rsidP="00B301BB">
      <w:pPr>
        <w:pStyle w:val="4"/>
        <w:numPr>
          <w:ilvl w:val="1"/>
          <w:numId w:val="9"/>
        </w:numPr>
      </w:pPr>
      <w:r w:rsidRPr="001850A3">
        <w:rPr>
          <w:lang w:val="bg-BG"/>
        </w:rPr>
        <w:lastRenderedPageBreak/>
        <w:t>Юридическа рамка на общностните инвестиции</w:t>
      </w:r>
    </w:p>
    <w:p w:rsidR="00B301BB" w:rsidRPr="001850A3" w:rsidRDefault="00B301BB" w:rsidP="00B301BB">
      <w:pPr>
        <w:pStyle w:val="5"/>
        <w:numPr>
          <w:ilvl w:val="2"/>
          <w:numId w:val="9"/>
        </w:numPr>
      </w:pPr>
      <w:r w:rsidRPr="001850A3">
        <w:rPr>
          <w:lang w:val="bg-BG"/>
        </w:rPr>
        <w:t>Членове 49 и 54 ДФЕС</w:t>
      </w:r>
    </w:p>
    <w:p w:rsidR="00B301BB" w:rsidRPr="001850A3" w:rsidRDefault="00B301BB" w:rsidP="00B301BB">
      <w:pPr>
        <w:pStyle w:val="5"/>
        <w:numPr>
          <w:ilvl w:val="2"/>
          <w:numId w:val="9"/>
        </w:numPr>
      </w:pPr>
      <w:r w:rsidRPr="001850A3">
        <w:rPr>
          <w:lang w:val="bg-BG"/>
        </w:rPr>
        <w:t>Решението Daily Mail</w:t>
      </w:r>
    </w:p>
    <w:p w:rsidR="00B301BB" w:rsidRPr="001850A3" w:rsidRDefault="00B301BB" w:rsidP="00B301BB">
      <w:pPr>
        <w:pStyle w:val="5"/>
        <w:numPr>
          <w:ilvl w:val="2"/>
          <w:numId w:val="9"/>
        </w:numPr>
      </w:pPr>
      <w:r w:rsidRPr="001850A3">
        <w:rPr>
          <w:lang w:val="bg-BG"/>
        </w:rPr>
        <w:t>Последващи решения: еволюция в съдебната практика</w:t>
      </w:r>
    </w:p>
    <w:p w:rsidR="00B301BB" w:rsidRPr="00B301BB" w:rsidRDefault="00B301BB" w:rsidP="00B301BB">
      <w:pPr>
        <w:pStyle w:val="4"/>
        <w:numPr>
          <w:ilvl w:val="1"/>
          <w:numId w:val="9"/>
        </w:numPr>
        <w:rPr>
          <w:lang w:val="bg-BG"/>
        </w:rPr>
      </w:pPr>
      <w:r w:rsidRPr="00B301BB">
        <w:rPr>
          <w:lang w:val="bg-BG"/>
        </w:rPr>
        <w:t>Особености при приложението на член 63 ДФЕС в областта на енергетиката</w:t>
      </w:r>
    </w:p>
    <w:p w:rsidR="00B301BB" w:rsidRPr="00B301BB" w:rsidRDefault="00B7395A" w:rsidP="00B301BB">
      <w:pPr>
        <w:pStyle w:val="2"/>
        <w:rPr>
          <w:lang w:val="bg-BG"/>
        </w:rPr>
      </w:pPr>
      <w:r>
        <w:rPr>
          <w:lang w:val="bg-BG"/>
        </w:rPr>
        <w:t xml:space="preserve">Част 3 Опазването на околната среда и </w:t>
      </w:r>
      <w:r w:rsidR="00B301BB">
        <w:rPr>
          <w:lang w:val="bg-BG"/>
        </w:rPr>
        <w:t>влиянието й върху енергийната политика на Съюза</w:t>
      </w:r>
    </w:p>
    <w:p w:rsidR="00B7395A" w:rsidRDefault="00B7395A" w:rsidP="00B301BB">
      <w:pPr>
        <w:pStyle w:val="1"/>
        <w:rPr>
          <w:lang w:val="bg-BG"/>
        </w:rPr>
      </w:pPr>
      <w:r>
        <w:rPr>
          <w:lang w:val="bg-BG"/>
        </w:rPr>
        <w:tab/>
        <w:t>А. ЕС и борбата с глобалното затопляне</w:t>
      </w:r>
    </w:p>
    <w:p w:rsidR="00B7395A" w:rsidRDefault="00D7711B" w:rsidP="000C0AC1">
      <w:pPr>
        <w:pStyle w:val="3"/>
        <w:numPr>
          <w:ilvl w:val="0"/>
          <w:numId w:val="3"/>
        </w:numPr>
        <w:rPr>
          <w:lang w:val="bg-BG"/>
        </w:rPr>
      </w:pPr>
      <w:r>
        <w:rPr>
          <w:lang w:val="bg-BG"/>
        </w:rPr>
        <w:t>Климатичните промени, предизвикателството на 21 век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Промените в климата като безспорна даденост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Борбата срещу климатичните промени: цената на бездействието надхвърля тази на действието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Глобално предизвикателство, глобално действие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Инициативите на ЕС – 20-20-20 до 2020</w:t>
      </w:r>
    </w:p>
    <w:p w:rsidR="00D7711B" w:rsidRPr="00D7711B" w:rsidRDefault="00D7711B" w:rsidP="00577470">
      <w:pPr>
        <w:pStyle w:val="3"/>
        <w:numPr>
          <w:ilvl w:val="0"/>
          <w:numId w:val="3"/>
        </w:numPr>
        <w:rPr>
          <w:lang w:val="bg-BG"/>
        </w:rPr>
      </w:pPr>
      <w:r>
        <w:rPr>
          <w:lang w:val="bg-BG"/>
        </w:rPr>
        <w:t xml:space="preserve">Основни механизми в борбата с климатичните промени – </w:t>
      </w:r>
      <w:r>
        <w:t>ETS</w:t>
      </w:r>
      <w:r w:rsidRPr="00D7711B">
        <w:rPr>
          <w:lang w:val="bg-BG"/>
        </w:rPr>
        <w:t xml:space="preserve"> 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 xml:space="preserve">Приложно поле и функциониране на системата 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Разпределяне на разходите между държавите членки</w:t>
      </w:r>
    </w:p>
    <w:p w:rsidR="00D7711B" w:rsidRDefault="00D7711B" w:rsidP="00577470">
      <w:pPr>
        <w:pStyle w:val="3"/>
        <w:numPr>
          <w:ilvl w:val="0"/>
          <w:numId w:val="3"/>
        </w:numPr>
        <w:rPr>
          <w:lang w:val="bg-BG"/>
        </w:rPr>
      </w:pPr>
      <w:r>
        <w:rPr>
          <w:lang w:val="bg-BG"/>
        </w:rPr>
        <w:t>Допълнителни механизми за борба с промените в климата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Възобновяемите енергийни източници: бъдещето ?</w:t>
      </w:r>
    </w:p>
    <w:p w:rsidR="00D7711B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Биогоривата</w:t>
      </w:r>
    </w:p>
    <w:p w:rsidR="00D7711B" w:rsidRPr="00B7395A" w:rsidRDefault="00D7711B" w:rsidP="000C0AC1">
      <w:pPr>
        <w:pStyle w:val="4"/>
        <w:numPr>
          <w:ilvl w:val="1"/>
          <w:numId w:val="3"/>
        </w:numPr>
        <w:rPr>
          <w:lang w:val="bg-BG"/>
        </w:rPr>
      </w:pPr>
      <w:r>
        <w:rPr>
          <w:lang w:val="bg-BG"/>
        </w:rPr>
        <w:t>Улавяне и складиране на въглеродния диоксид</w:t>
      </w:r>
    </w:p>
    <w:p w:rsidR="00B7395A" w:rsidRDefault="00B7395A" w:rsidP="00577470">
      <w:pPr>
        <w:pStyle w:val="2"/>
        <w:rPr>
          <w:lang w:val="bg-BG"/>
        </w:rPr>
      </w:pPr>
      <w:r>
        <w:rPr>
          <w:lang w:val="bg-BG"/>
        </w:rPr>
        <w:tab/>
        <w:t>Б. ЕС и опазването на биоразнообразието</w:t>
      </w:r>
    </w:p>
    <w:p w:rsidR="00D7711B" w:rsidRDefault="00D7711B" w:rsidP="000C0AC1">
      <w:pPr>
        <w:pStyle w:val="3"/>
        <w:numPr>
          <w:ilvl w:val="0"/>
          <w:numId w:val="4"/>
        </w:numPr>
        <w:rPr>
          <w:lang w:val="bg-BG"/>
        </w:rPr>
      </w:pPr>
      <w:r>
        <w:rPr>
          <w:lang w:val="bg-BG"/>
        </w:rPr>
        <w:t>Тревожната загуба на биоразнообразие</w:t>
      </w:r>
    </w:p>
    <w:p w:rsidR="00D7711B" w:rsidRDefault="000C0AC1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Нара</w:t>
      </w:r>
      <w:r w:rsidR="00D7711B">
        <w:rPr>
          <w:lang w:val="bg-BG"/>
        </w:rPr>
        <w:t>стващият човешки фактор</w:t>
      </w:r>
    </w:p>
    <w:p w:rsidR="00D7711B" w:rsidRDefault="00D7711B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Инвазивните видове</w:t>
      </w:r>
    </w:p>
    <w:p w:rsidR="00D7711B" w:rsidRDefault="00577470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lastRenderedPageBreak/>
        <w:t>Замърсяване на крайбрежните зони</w:t>
      </w:r>
    </w:p>
    <w:p w:rsidR="00577470" w:rsidRDefault="00577470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Икономическото значение на биоразнообразието</w:t>
      </w:r>
    </w:p>
    <w:p w:rsidR="00D7711B" w:rsidRDefault="00D7711B" w:rsidP="00577470">
      <w:pPr>
        <w:pStyle w:val="3"/>
        <w:numPr>
          <w:ilvl w:val="0"/>
          <w:numId w:val="4"/>
        </w:numPr>
        <w:rPr>
          <w:lang w:val="bg-BG"/>
        </w:rPr>
      </w:pPr>
      <w:r>
        <w:rPr>
          <w:lang w:val="bg-BG"/>
        </w:rPr>
        <w:t>Инициативи на ЕС за възстановяване на биоразнообразието</w:t>
      </w:r>
    </w:p>
    <w:p w:rsidR="00577470" w:rsidRDefault="00577470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Мрежата „Натура 2000”</w:t>
      </w:r>
    </w:p>
    <w:p w:rsidR="00577470" w:rsidRDefault="00577470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Защита на горите</w:t>
      </w:r>
    </w:p>
    <w:p w:rsidR="00577470" w:rsidRDefault="00577470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Борба срещу инвазивните видове</w:t>
      </w:r>
    </w:p>
    <w:p w:rsidR="009F1144" w:rsidRPr="000C0AC1" w:rsidRDefault="00577470" w:rsidP="000C0AC1">
      <w:pPr>
        <w:pStyle w:val="4"/>
        <w:numPr>
          <w:ilvl w:val="1"/>
          <w:numId w:val="4"/>
        </w:numPr>
        <w:rPr>
          <w:lang w:val="bg-BG"/>
        </w:rPr>
      </w:pPr>
      <w:r>
        <w:rPr>
          <w:lang w:val="bg-BG"/>
        </w:rPr>
        <w:t>Защита на морската среда</w:t>
      </w:r>
    </w:p>
    <w:sectPr w:rsidR="009F1144" w:rsidRPr="000C0AC1" w:rsidSect="004D01D0">
      <w:headerReference w:type="default" r:id="rId8"/>
      <w:footerReference w:type="default" r:id="rId9"/>
      <w:pgSz w:w="12240" w:h="15840"/>
      <w:pgMar w:top="1560" w:right="1440" w:bottom="1276" w:left="1440" w:header="284" w:footer="32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1D0" w:rsidRDefault="004D01D0" w:rsidP="004D01D0">
      <w:pPr>
        <w:spacing w:after="0" w:line="240" w:lineRule="auto"/>
      </w:pPr>
      <w:r>
        <w:separator/>
      </w:r>
    </w:p>
  </w:endnote>
  <w:endnote w:type="continuationSeparator" w:id="0">
    <w:p w:rsidR="004D01D0" w:rsidRDefault="004D01D0" w:rsidP="004D0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D0" w:rsidRPr="00A836B3" w:rsidRDefault="004D01D0" w:rsidP="004D01D0">
    <w:pPr>
      <w:pStyle w:val="ae"/>
      <w:jc w:val="center"/>
      <w:rPr>
        <w:rFonts w:ascii="Times New Roman" w:hAnsi="Times New Roman" w:cs="Times New Roman"/>
        <w:i/>
        <w:sz w:val="16"/>
        <w:szCs w:val="16"/>
      </w:rPr>
    </w:pPr>
    <w:proofErr w:type="spellStart"/>
    <w:r w:rsidRPr="00A836B3">
      <w:rPr>
        <w:rFonts w:ascii="Times New Roman" w:hAnsi="Times New Roman" w:cs="Times New Roman"/>
        <w:i/>
        <w:sz w:val="16"/>
        <w:szCs w:val="16"/>
      </w:rPr>
      <w:t>Този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документ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е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създаден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в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рамките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на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проект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„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Повишаване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на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компетентността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на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съдии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,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съдебни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помощници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и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съдебни</w:t>
    </w:r>
    <w:proofErr w:type="spellEnd"/>
  </w:p>
  <w:p w:rsidR="004D01D0" w:rsidRPr="00A836B3" w:rsidRDefault="004D01D0" w:rsidP="004D01D0">
    <w:pPr>
      <w:pStyle w:val="ae"/>
      <w:jc w:val="center"/>
      <w:rPr>
        <w:rFonts w:ascii="Times New Roman" w:hAnsi="Times New Roman" w:cs="Times New Roman"/>
        <w:i/>
        <w:sz w:val="16"/>
        <w:szCs w:val="16"/>
      </w:rPr>
    </w:pPr>
    <w:proofErr w:type="spellStart"/>
    <w:proofErr w:type="gramStart"/>
    <w:r w:rsidRPr="00A836B3">
      <w:rPr>
        <w:rFonts w:ascii="Times New Roman" w:hAnsi="Times New Roman" w:cs="Times New Roman"/>
        <w:i/>
        <w:sz w:val="16"/>
        <w:szCs w:val="16"/>
      </w:rPr>
      <w:t>служители</w:t>
    </w:r>
    <w:proofErr w:type="spellEnd"/>
    <w:proofErr w:type="gram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от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ВАС и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административните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съдилища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”,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Договор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№ 13-24-2/10.09.2013 г.,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финансиран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от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Оперативна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програма</w:t>
    </w:r>
    <w:proofErr w:type="spellEnd"/>
  </w:p>
  <w:p w:rsidR="004D01D0" w:rsidRPr="00A836B3" w:rsidRDefault="004D01D0" w:rsidP="004D01D0">
    <w:pPr>
      <w:pStyle w:val="ae"/>
      <w:jc w:val="center"/>
      <w:rPr>
        <w:rFonts w:ascii="Times New Roman" w:hAnsi="Times New Roman" w:cs="Times New Roman"/>
        <w:i/>
        <w:sz w:val="16"/>
        <w:szCs w:val="16"/>
      </w:rPr>
    </w:pPr>
    <w:r w:rsidRPr="00A836B3">
      <w:rPr>
        <w:rFonts w:ascii="Times New Roman" w:hAnsi="Times New Roman" w:cs="Times New Roman"/>
        <w:i/>
        <w:sz w:val="16"/>
        <w:szCs w:val="16"/>
      </w:rPr>
      <w:t xml:space="preserve">„Административен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капацитет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”, съфинансирана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от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Европейския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съюз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чрез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Европейския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социален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 </w:t>
    </w:r>
    <w:proofErr w:type="spellStart"/>
    <w:r w:rsidRPr="00A836B3">
      <w:rPr>
        <w:rFonts w:ascii="Times New Roman" w:hAnsi="Times New Roman" w:cs="Times New Roman"/>
        <w:i/>
        <w:sz w:val="16"/>
        <w:szCs w:val="16"/>
      </w:rPr>
      <w:t>фонд</w:t>
    </w:r>
    <w:proofErr w:type="spellEnd"/>
    <w:r w:rsidRPr="00A836B3">
      <w:rPr>
        <w:rFonts w:ascii="Times New Roman" w:hAnsi="Times New Roman" w:cs="Times New Roman"/>
        <w:i/>
        <w:sz w:val="16"/>
        <w:szCs w:val="16"/>
      </w:rPr>
      <w:t xml:space="preserve">. </w:t>
    </w:r>
  </w:p>
  <w:p w:rsidR="004D01D0" w:rsidRPr="00A836B3" w:rsidRDefault="004D01D0" w:rsidP="004D01D0">
    <w:pPr>
      <w:pStyle w:val="ae"/>
      <w:jc w:val="center"/>
      <w:rPr>
        <w:rFonts w:ascii="Times New Roman" w:hAnsi="Times New Roman" w:cs="Times New Roman"/>
        <w:sz w:val="16"/>
        <w:szCs w:val="16"/>
      </w:rPr>
    </w:pPr>
  </w:p>
  <w:p w:rsidR="004D01D0" w:rsidRPr="00A836B3" w:rsidRDefault="004D01D0" w:rsidP="004D01D0">
    <w:pPr>
      <w:pStyle w:val="ae"/>
      <w:jc w:val="center"/>
      <w:rPr>
        <w:rFonts w:ascii="Times New Roman" w:hAnsi="Times New Roman" w:cs="Times New Roman"/>
        <w:noProof/>
        <w:sz w:val="16"/>
        <w:szCs w:val="16"/>
      </w:rPr>
    </w:pPr>
    <w:r w:rsidRPr="00A836B3">
      <w:rPr>
        <w:rFonts w:ascii="Times New Roman" w:hAnsi="Times New Roman" w:cs="Times New Roman"/>
        <w:sz w:val="16"/>
        <w:szCs w:val="16"/>
      </w:rPr>
      <w:fldChar w:fldCharType="begin"/>
    </w:r>
    <w:r w:rsidRPr="00A836B3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A836B3">
      <w:rPr>
        <w:rFonts w:ascii="Times New Roman" w:hAnsi="Times New Roman" w:cs="Times New Roman"/>
        <w:sz w:val="16"/>
        <w:szCs w:val="16"/>
      </w:rP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4</w:t>
    </w:r>
    <w:r w:rsidRPr="00A836B3">
      <w:rPr>
        <w:rFonts w:ascii="Times New Roman" w:hAnsi="Times New Roman" w:cs="Times New Roman"/>
        <w:noProof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1D0" w:rsidRDefault="004D01D0" w:rsidP="004D01D0">
      <w:pPr>
        <w:spacing w:after="0" w:line="240" w:lineRule="auto"/>
      </w:pPr>
      <w:r>
        <w:separator/>
      </w:r>
    </w:p>
  </w:footnote>
  <w:footnote w:type="continuationSeparator" w:id="0">
    <w:p w:rsidR="004D01D0" w:rsidRDefault="004D01D0" w:rsidP="004D0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D0" w:rsidRPr="004D01D0" w:rsidRDefault="004D01D0" w:rsidP="004D01D0">
    <w:pPr>
      <w:pStyle w:val="ac"/>
      <w:jc w:val="center"/>
    </w:pPr>
    <w:r w:rsidRPr="004D01D0">
      <w:drawing>
        <wp:inline distT="0" distB="0" distL="0" distR="0">
          <wp:extent cx="5391150" cy="752475"/>
          <wp:effectExtent l="19050" t="0" r="0" b="0"/>
          <wp:docPr id="2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137DF"/>
    <w:multiLevelType w:val="hybridMultilevel"/>
    <w:tmpl w:val="9DCAE7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C94CA5"/>
    <w:multiLevelType w:val="hybridMultilevel"/>
    <w:tmpl w:val="1A9087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A2F6D"/>
    <w:multiLevelType w:val="hybridMultilevel"/>
    <w:tmpl w:val="185CE80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6C51F7C"/>
    <w:multiLevelType w:val="hybridMultilevel"/>
    <w:tmpl w:val="2C262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919A7"/>
    <w:multiLevelType w:val="hybridMultilevel"/>
    <w:tmpl w:val="A7481BD2"/>
    <w:lvl w:ilvl="0" w:tplc="C5388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409B8C">
      <w:start w:val="137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A292F8">
      <w:start w:val="1373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24822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2A2264">
      <w:start w:val="1373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81E4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D01D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681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C0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4F30944"/>
    <w:multiLevelType w:val="hybridMultilevel"/>
    <w:tmpl w:val="329E59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1B3950"/>
    <w:multiLevelType w:val="hybridMultilevel"/>
    <w:tmpl w:val="E51AA97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EBB4AF8"/>
    <w:multiLevelType w:val="hybridMultilevel"/>
    <w:tmpl w:val="B9E29AC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A28221F"/>
    <w:multiLevelType w:val="hybridMultilevel"/>
    <w:tmpl w:val="5D980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144"/>
    <w:rsid w:val="000C0AC1"/>
    <w:rsid w:val="00216AB6"/>
    <w:rsid w:val="003406E4"/>
    <w:rsid w:val="004D01D0"/>
    <w:rsid w:val="00577470"/>
    <w:rsid w:val="005F3612"/>
    <w:rsid w:val="008A74AD"/>
    <w:rsid w:val="009F1144"/>
    <w:rsid w:val="00AC742D"/>
    <w:rsid w:val="00B301BB"/>
    <w:rsid w:val="00B7395A"/>
    <w:rsid w:val="00C03692"/>
    <w:rsid w:val="00D7711B"/>
    <w:rsid w:val="00DD7221"/>
    <w:rsid w:val="00F52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AD"/>
  </w:style>
  <w:style w:type="paragraph" w:styleId="1">
    <w:name w:val="heading 1"/>
    <w:basedOn w:val="a"/>
    <w:next w:val="a"/>
    <w:link w:val="10"/>
    <w:uiPriority w:val="9"/>
    <w:qFormat/>
    <w:rsid w:val="005774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774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774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774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301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612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5774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5774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7747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57747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5774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5774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5774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577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0C0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C0AC1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B30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План на документа Знак"/>
    <w:basedOn w:val="a0"/>
    <w:link w:val="aa"/>
    <w:uiPriority w:val="99"/>
    <w:semiHidden/>
    <w:rsid w:val="00B301BB"/>
    <w:rPr>
      <w:rFonts w:ascii="Tahoma" w:hAnsi="Tahoma" w:cs="Tahoma"/>
      <w:sz w:val="16"/>
      <w:szCs w:val="16"/>
    </w:rPr>
  </w:style>
  <w:style w:type="character" w:customStyle="1" w:styleId="50">
    <w:name w:val="Заглавие 5 Знак"/>
    <w:basedOn w:val="a0"/>
    <w:link w:val="5"/>
    <w:uiPriority w:val="9"/>
    <w:rsid w:val="00B301B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header"/>
    <w:basedOn w:val="a"/>
    <w:link w:val="ad"/>
    <w:uiPriority w:val="99"/>
    <w:semiHidden/>
    <w:unhideWhenUsed/>
    <w:rsid w:val="004D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semiHidden/>
    <w:rsid w:val="004D01D0"/>
  </w:style>
  <w:style w:type="paragraph" w:styleId="ae">
    <w:name w:val="footer"/>
    <w:basedOn w:val="a"/>
    <w:link w:val="af"/>
    <w:unhideWhenUsed/>
    <w:rsid w:val="004D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rsid w:val="004D01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user-x</dc:creator>
  <cp:lastModifiedBy>S</cp:lastModifiedBy>
  <cp:revision>4</cp:revision>
  <dcterms:created xsi:type="dcterms:W3CDTF">2014-04-23T10:32:00Z</dcterms:created>
  <dcterms:modified xsi:type="dcterms:W3CDTF">2014-04-23T11:47:00Z</dcterms:modified>
</cp:coreProperties>
</file>